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B30373">
      <w:pPr>
        <w:spacing w:after="0" w:line="240" w:lineRule="auto"/>
        <w:rPr>
          <w:rFonts w:ascii="Arial" w:eastAsia="Times New Roman" w:hAnsi="Arial" w:cs="Arial"/>
          <w:b/>
          <w:sz w:val="28"/>
          <w:szCs w:val="20"/>
        </w:rPr>
      </w:pPr>
    </w:p>
    <w:p w14:paraId="36AF5F37" w14:textId="77777777" w:rsidR="00997F82" w:rsidRPr="00C13613" w:rsidRDefault="00997F82" w:rsidP="00B30373">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26FE8E4" w:rsidR="00997F82" w:rsidRPr="003C2452" w:rsidRDefault="00B30373"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Hontianske Poiplie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2ABCEE9" w:rsidR="00997F82" w:rsidRDefault="00B30373"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IROP-CLLD-X293-512-003</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4CE813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B30373">
            <w:rPr>
              <w:rFonts w:ascii="Arial" w:hAnsi="Arial" w:cs="Arial"/>
              <w:b/>
              <w:sz w:val="22"/>
            </w:rPr>
            <w:t>5.1.2 Zlepšenie udržateľných vzťahov medzi vidieckymi rozvojovými centrami a ich zázemím vo verejných službách a vo verejných infraštruktúrach</w:t>
          </w:r>
        </w:sdtContent>
      </w:sdt>
    </w:p>
    <w:p w14:paraId="266737C6" w14:textId="73E69E0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30373">
            <w:rPr>
              <w:rFonts w:ascii="Arial" w:hAnsi="Arial" w:cs="Arial"/>
              <w:sz w:val="22"/>
            </w:rPr>
            <w:t>C1 Komunitné sociálne služby</w:t>
          </w:r>
        </w:sdtContent>
      </w:sdt>
    </w:p>
    <w:p w14:paraId="60D37D52" w14:textId="245657B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5153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F37827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51531">
        <w:rPr>
          <w:rFonts w:ascii="Arial" w:hAnsi="Arial" w:cs="Arial"/>
          <w:i/>
          <w:sz w:val="22"/>
        </w:rPr>
        <w:t>Hontianske Poiplie</w:t>
      </w:r>
    </w:p>
    <w:p w14:paraId="5C40D1B0" w14:textId="112D8A1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51531">
        <w:rPr>
          <w:rFonts w:ascii="Arial" w:hAnsi="Arial" w:cs="Arial"/>
          <w:i/>
          <w:sz w:val="22"/>
        </w:rPr>
        <w:t>Cesta Slobody 466/44, 991 28 Vinica</w:t>
      </w:r>
    </w:p>
    <w:p w14:paraId="3DB92461" w14:textId="0ABF7CF0"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7B822B6" w:rsidR="00997F82" w:rsidRPr="009B3DD7" w:rsidRDefault="00997F82" w:rsidP="00DD3EE2">
      <w:pPr>
        <w:tabs>
          <w:tab w:val="left" w:pos="1985"/>
        </w:tabs>
        <w:spacing w:before="240" w:after="120" w:line="240" w:lineRule="auto"/>
        <w:ind w:left="1985" w:hanging="1985"/>
        <w:rPr>
          <w:rFonts w:ascii="Arial" w:hAnsi="Arial" w:cs="Arial"/>
          <w:sz w:val="22"/>
        </w:rPr>
      </w:pPr>
      <w:r w:rsidRPr="001B0BC1">
        <w:rPr>
          <w:rFonts w:ascii="Arial" w:hAnsi="Arial" w:cs="Arial"/>
          <w:b/>
          <w:sz w:val="22"/>
        </w:rPr>
        <w:t>Dátum vyhlásenia:</w:t>
      </w:r>
      <w:r w:rsidRPr="001B0BC1">
        <w:rPr>
          <w:rFonts w:ascii="Arial" w:hAnsi="Arial" w:cs="Arial"/>
          <w:sz w:val="22"/>
        </w:rPr>
        <w:tab/>
      </w:r>
      <w:sdt>
        <w:sdtPr>
          <w:rPr>
            <w:rFonts w:ascii="Arial" w:hAnsi="Arial" w:cs="Arial"/>
            <w:sz w:val="22"/>
          </w:rPr>
          <w:id w:val="-997568820"/>
          <w:placeholder>
            <w:docPart w:val="AFD889F97F99478CA19E00A9D5338704"/>
          </w:placeholder>
          <w:date w:fullDate="2021-08-16T00:00:00Z">
            <w:dateFormat w:val="d. M. yyyy"/>
            <w:lid w:val="sk-SK"/>
            <w:storeMappedDataAs w:val="dateTime"/>
            <w:calendar w:val="gregorian"/>
          </w:date>
        </w:sdtPr>
        <w:sdtEndPr/>
        <w:sdtContent>
          <w:r w:rsidR="001B0BC1">
            <w:rPr>
              <w:rFonts w:ascii="Arial" w:hAnsi="Arial" w:cs="Arial"/>
              <w:sz w:val="22"/>
            </w:rPr>
            <w:t>16. 8. 2021</w:t>
          </w:r>
        </w:sdtContent>
      </w:sdt>
    </w:p>
    <w:p w14:paraId="532ABE8D" w14:textId="6353CF2F"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w:t>
      </w:r>
      <w:r w:rsidR="00ED7EE6">
        <w:rPr>
          <w:rFonts w:ascii="Arial" w:hAnsi="Arial" w:cs="Arial"/>
          <w:sz w:val="22"/>
        </w:rPr>
        <w:t xml:space="preserve">ebovom sídle </w:t>
      </w:r>
      <w:hyperlink r:id="rId9" w:history="1">
        <w:r w:rsidR="00ED7EE6" w:rsidRPr="00EE6F4C">
          <w:rPr>
            <w:rStyle w:val="Hyperlink"/>
            <w:rFonts w:cs="Arial"/>
            <w:sz w:val="20"/>
          </w:rPr>
          <w:t>http://www.hontianskepoiplie.sk/vyzvy.html</w:t>
        </w:r>
      </w:hyperlink>
      <w:r w:rsidR="00ED7EE6">
        <w:rPr>
          <w:rStyle w:val="Hyperlink"/>
          <w:rFonts w:cs="Arial"/>
          <w:sz w:val="20"/>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D04C328"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D7EE6">
        <w:rPr>
          <w:rFonts w:ascii="Arial" w:hAnsi="Arial" w:cs="Arial"/>
          <w:b/>
          <w:sz w:val="22"/>
        </w:rPr>
        <w:t xml:space="preserve">51 000,00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32CC57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D7EE6">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ED7EE6">
        <w:rPr>
          <w:rFonts w:ascii="Arial" w:hAnsi="Arial" w:cs="Arial"/>
          <w:sz w:val="22"/>
        </w:rPr>
        <w:t xml:space="preserve"> 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07ED5D6" w:rsidR="00997F82" w:rsidRPr="001B0BC1" w:rsidRDefault="001B0BC1" w:rsidP="00016DEA">
            <w:pPr>
              <w:spacing w:before="60" w:after="60" w:line="240" w:lineRule="auto"/>
              <w:jc w:val="center"/>
              <w:outlineLvl w:val="0"/>
              <w:rPr>
                <w:rFonts w:ascii="Arial" w:hAnsi="Arial" w:cs="Arial"/>
                <w:sz w:val="20"/>
                <w:szCs w:val="20"/>
              </w:rPr>
            </w:pPr>
            <w:r>
              <w:rPr>
                <w:rFonts w:ascii="Arial" w:hAnsi="Arial" w:cs="Arial"/>
                <w:sz w:val="20"/>
                <w:szCs w:val="20"/>
              </w:rPr>
              <w:t>18.10.2021</w:t>
            </w:r>
          </w:p>
        </w:tc>
        <w:tc>
          <w:tcPr>
            <w:tcW w:w="3070" w:type="dxa"/>
            <w:vAlign w:val="center"/>
          </w:tcPr>
          <w:p w14:paraId="7FB5A443" w14:textId="5A27C627" w:rsidR="00997F82" w:rsidRPr="001B0BC1" w:rsidRDefault="001B0BC1" w:rsidP="00016DEA">
            <w:pPr>
              <w:spacing w:before="60" w:after="60" w:line="240" w:lineRule="auto"/>
              <w:jc w:val="center"/>
              <w:outlineLvl w:val="0"/>
              <w:rPr>
                <w:rFonts w:ascii="Arial" w:hAnsi="Arial" w:cs="Arial"/>
                <w:sz w:val="20"/>
                <w:szCs w:val="20"/>
              </w:rPr>
            </w:pPr>
            <w:r>
              <w:rPr>
                <w:rFonts w:ascii="Arial" w:hAnsi="Arial" w:cs="Arial"/>
                <w:sz w:val="20"/>
                <w:szCs w:val="20"/>
              </w:rPr>
              <w:t>20.12.2021</w:t>
            </w:r>
            <w:bookmarkStart w:id="1" w:name="_GoBack"/>
            <w:bookmarkEnd w:id="1"/>
          </w:p>
        </w:tc>
        <w:tc>
          <w:tcPr>
            <w:tcW w:w="3494" w:type="dxa"/>
          </w:tcPr>
          <w:p w14:paraId="766B9373" w14:textId="59831BC7" w:rsidR="00997F82" w:rsidRPr="001B0BC1" w:rsidRDefault="00997F82" w:rsidP="00016DEA">
            <w:pPr>
              <w:spacing w:before="60" w:after="60" w:line="240" w:lineRule="auto"/>
              <w:jc w:val="center"/>
              <w:outlineLvl w:val="0"/>
              <w:rPr>
                <w:rFonts w:ascii="Arial" w:hAnsi="Arial" w:cs="Arial"/>
                <w:sz w:val="20"/>
                <w:szCs w:val="20"/>
              </w:rPr>
            </w:pPr>
            <w:r w:rsidRPr="001B0BC1">
              <w:rPr>
                <w:rFonts w:ascii="Arial" w:hAnsi="Arial" w:cs="Arial"/>
                <w:sz w:val="20"/>
                <w:szCs w:val="20"/>
              </w:rPr>
              <w:t xml:space="preserve">Ďalšie hodnotiace kolá budú </w:t>
            </w:r>
            <w:r w:rsidR="00ED7EE6" w:rsidRPr="001B0BC1">
              <w:rPr>
                <w:rFonts w:ascii="Arial" w:hAnsi="Arial" w:cs="Arial"/>
                <w:sz w:val="20"/>
                <w:szCs w:val="20"/>
              </w:rPr>
              <w:t>uzatvárané v intervale 2</w:t>
            </w:r>
            <w:r w:rsidRPr="001B0BC1">
              <w:rPr>
                <w:rFonts w:ascii="Arial" w:hAnsi="Arial" w:cs="Arial"/>
                <w:sz w:val="20"/>
                <w:szCs w:val="20"/>
              </w:rPr>
              <w:t xml:space="preserve"> mesiacov od predchádzajúceho hodnotiaceho kola a to vždy k </w:t>
            </w:r>
            <w:r w:rsidR="00ED7EE6" w:rsidRPr="001B0BC1">
              <w:rPr>
                <w:rFonts w:ascii="Arial" w:hAnsi="Arial" w:cs="Arial"/>
                <w:sz w:val="20"/>
                <w:szCs w:val="20"/>
              </w:rPr>
              <w:t>20</w:t>
            </w:r>
            <w:r w:rsidRPr="001B0BC1">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ListParagraph"/>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ListParagraph"/>
              <w:numPr>
                <w:ilvl w:val="0"/>
                <w:numId w:val="14"/>
              </w:numPr>
              <w:spacing w:before="60" w:after="60" w:line="240" w:lineRule="auto"/>
              <w:ind w:left="499" w:right="85" w:hanging="357"/>
              <w:jc w:val="both"/>
              <w:rPr>
                <w:rStyle w:val="Hyperlink"/>
                <w:rFonts w:cs="Arial"/>
                <w:bCs/>
                <w:sz w:val="20"/>
                <w:szCs w:val="20"/>
              </w:rPr>
            </w:pPr>
            <w:r w:rsidRPr="00C63476">
              <w:rPr>
                <w:rFonts w:ascii="Arial" w:hAnsi="Arial" w:cs="Arial"/>
                <w:bCs/>
                <w:sz w:val="20"/>
                <w:szCs w:val="20"/>
              </w:rPr>
              <w:t xml:space="preserve">písm. a) až e) overí informácie na webovom sídle </w:t>
            </w:r>
            <w:hyperlink r:id="rId11" w:history="1">
              <w:r w:rsidRPr="00C63476">
                <w:rPr>
                  <w:rStyle w:val="Hyperlink"/>
                  <w:rFonts w:cs="Arial"/>
                  <w:bCs/>
                  <w:sz w:val="20"/>
                  <w:szCs w:val="20"/>
                </w:rPr>
                <w:t>https://rpo.statistics.sk</w:t>
              </w:r>
            </w:hyperlink>
          </w:p>
          <w:p w14:paraId="1578CA14" w14:textId="77777777" w:rsidR="00997F82" w:rsidRPr="00C63476" w:rsidRDefault="00997F82" w:rsidP="00733FAA">
            <w:pPr>
              <w:pStyle w:val="ListParagraph"/>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2" w:history="1">
              <w:r w:rsidRPr="00C63476">
                <w:rPr>
                  <w:rStyle w:val="Hyperlink"/>
                  <w:rFonts w:cs="Arial"/>
                  <w:bCs/>
                  <w:sz w:val="20"/>
                  <w:szCs w:val="20"/>
                </w:rPr>
                <w:t>http://www.culture.gov.sk/extdoc/4426/EVIDENCIA_CNS</w:t>
              </w:r>
            </w:hyperlink>
          </w:p>
          <w:p w14:paraId="55ED2693"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w:t>
            </w:r>
            <w:r>
              <w:rPr>
                <w:rFonts w:ascii="Arial" w:hAnsi="Arial" w:cs="Arial"/>
                <w:bCs/>
                <w:sz w:val="20"/>
                <w:szCs w:val="20"/>
              </w:rPr>
              <w:lastRenderedPageBreak/>
              <w:t>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ListParagraph"/>
              <w:spacing w:before="120" w:after="120" w:line="240" w:lineRule="auto"/>
              <w:ind w:left="85" w:right="85"/>
              <w:contextualSpacing w:val="0"/>
              <w:jc w:val="both"/>
              <w:rPr>
                <w:rStyle w:val="Hyperlink"/>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4" w:history="1">
              <w:r w:rsidRPr="00037ED5">
                <w:rPr>
                  <w:rStyle w:val="Hyperlink"/>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5" w:history="1">
              <w:r w:rsidRPr="00D01EF0">
                <w:rPr>
                  <w:rStyle w:val="Hyperlink"/>
                  <w:rFonts w:cs="Arial"/>
                  <w:sz w:val="20"/>
                  <w:szCs w:val="20"/>
                </w:rPr>
                <w:t>https://www.justice.gov.sk/PortalApp/ObchodnyVestnik/Web/Zoznam.aspx</w:t>
              </w:r>
            </w:hyperlink>
            <w:r w:rsidRPr="00D01EF0">
              <w:rPr>
                <w:rStyle w:val="Hyperlink"/>
                <w:rFonts w:cs="Arial"/>
                <w:sz w:val="20"/>
                <w:szCs w:val="20"/>
              </w:rPr>
              <w:t>.</w:t>
            </w:r>
          </w:p>
          <w:p w14:paraId="511EB236" w14:textId="77777777" w:rsidR="00997F82" w:rsidRPr="00D33B30" w:rsidRDefault="00997F82" w:rsidP="00E922AD">
            <w:pPr>
              <w:pStyle w:val="CommentText"/>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6" w:history="1">
              <w:r w:rsidRPr="00F65D39">
                <w:rPr>
                  <w:rStyle w:val="Hyperlink"/>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0471EF0"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w:t>
            </w:r>
            <w:r w:rsidR="00C85CD5">
              <w:rPr>
                <w:rFonts w:ascii="Arial" w:hAnsi="Arial" w:cs="Arial"/>
                <w:sz w:val="20"/>
                <w:szCs w:val="20"/>
                <w:lang w:eastAsia="cs-CZ"/>
              </w:rPr>
              <w:t>e finančnú spôsobilosť žiadateľa</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4C3992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w:t>
            </w:r>
            <w:r w:rsidR="00B001BE">
              <w:rPr>
                <w:rFonts w:ascii="Arial" w:hAnsi="Arial" w:cs="Arial"/>
                <w:bCs/>
                <w:sz w:val="20"/>
                <w:szCs w:val="20"/>
              </w:rPr>
              <w:t>dloženej prílohy</w:t>
            </w:r>
            <w:r w:rsidR="00E70BB1">
              <w:rPr>
                <w:rFonts w:ascii="Arial" w:hAnsi="Arial" w:cs="Arial"/>
                <w:bCs/>
                <w:sz w:val="20"/>
                <w:szCs w:val="20"/>
              </w:rPr>
              <w:t xml:space="preserve"> (ak relevantné)</w:t>
            </w:r>
            <w:r w:rsidR="007F7781">
              <w:rPr>
                <w:rFonts w:ascii="Arial" w:hAnsi="Arial" w:cs="Arial"/>
                <w:bCs/>
                <w:sz w:val="20"/>
                <w:szCs w:val="20"/>
              </w:rPr>
              <w:t>l</w:t>
            </w:r>
            <w:r w:rsidRPr="0094069A">
              <w:rPr>
                <w:rFonts w:ascii="Arial" w:hAnsi="Arial" w:cs="Arial"/>
                <w:bCs/>
                <w:sz w:val="20"/>
                <w:szCs w:val="20"/>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C034476"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w:t>
            </w:r>
            <w:r w:rsidR="00D27850">
              <w:rPr>
                <w:rFonts w:ascii="Arial" w:hAnsi="Arial" w:cs="Arial"/>
                <w:b/>
                <w:sz w:val="20"/>
                <w:szCs w:val="20"/>
              </w:rPr>
              <w:t xml:space="preserve">tárneho orgánu, </w:t>
            </w:r>
            <w:r w:rsidRPr="005B3A2C">
              <w:rPr>
                <w:rFonts w:ascii="Arial" w:hAnsi="Arial" w:cs="Arial"/>
                <w:b/>
                <w:sz w:val="20"/>
                <w:szCs w:val="20"/>
              </w:rPr>
              <w:t>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37B555A"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B03822">
              <w:rPr>
                <w:rFonts w:ascii="Arial" w:hAnsi="Arial" w:cs="Arial"/>
                <w:bCs/>
                <w:sz w:val="20"/>
                <w:szCs w:val="20"/>
              </w:rPr>
              <w:t xml:space="preserve">, </w:t>
            </w:r>
            <w:r w:rsidRPr="00734B69">
              <w:rPr>
                <w:rFonts w:ascii="Arial" w:hAnsi="Arial" w:cs="Arial"/>
                <w:bCs/>
                <w:sz w:val="20"/>
                <w:szCs w:val="20"/>
              </w:rPr>
              <w:t>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24D957E4"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E230C5">
              <w:rPr>
                <w:rFonts w:ascii="Arial" w:hAnsi="Arial" w:cs="Arial"/>
                <w:bCs/>
                <w:sz w:val="20"/>
                <w:szCs w:val="20"/>
              </w:rPr>
              <w:t>,</w:t>
            </w:r>
          </w:p>
          <w:p w14:paraId="2BF5C9FF" w14:textId="395D44E8"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w:t>
            </w:r>
            <w:r w:rsidR="00B03822">
              <w:rPr>
                <w:rFonts w:ascii="Arial" w:hAnsi="Arial" w:cs="Arial"/>
                <w:bCs/>
                <w:sz w:val="20"/>
                <w:szCs w:val="20"/>
              </w:rPr>
              <w:t xml:space="preserve">rgánu žiadateľa,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09E8F1B" w14:textId="77777777" w:rsidR="00B03822" w:rsidRDefault="00997F82" w:rsidP="00B03822">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03822">
              <w:rPr>
                <w:rFonts w:ascii="Arial" w:hAnsi="Arial" w:cs="Arial"/>
                <w:bCs/>
                <w:sz w:val="20"/>
                <w:szCs w:val="20"/>
              </w:rPr>
              <w:t>.</w:t>
            </w:r>
          </w:p>
          <w:p w14:paraId="2179F26F" w14:textId="2DE4C205" w:rsidR="00997F82" w:rsidRPr="00925544" w:rsidRDefault="00997F82" w:rsidP="00B03822">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5"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5"/>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w:t>
            </w:r>
            <w:r w:rsidRPr="00863E72">
              <w:rPr>
                <w:rFonts w:ascii="Arial" w:hAnsi="Arial" w:cs="Arial"/>
                <w:bCs/>
                <w:sz w:val="20"/>
                <w:szCs w:val="20"/>
              </w:rPr>
              <w:lastRenderedPageBreak/>
              <w:t>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ListParagraph"/>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7"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D3E4A3B"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03822">
                  <w:rPr>
                    <w:rFonts w:ascii="Arial" w:hAnsi="Arial" w:cs="Arial"/>
                    <w:sz w:val="22"/>
                  </w:rPr>
                  <w:t>C1 Komunitné sociálne služby</w:t>
                </w:r>
              </w:sdtContent>
            </w:sdt>
            <w:r w:rsidR="00156C68">
              <w:rPr>
                <w:rFonts w:ascii="Arial" w:hAnsi="Arial" w:cs="Arial"/>
                <w:sz w:val="22"/>
              </w:rPr>
              <w:t>.</w:t>
            </w:r>
          </w:p>
          <w:p w14:paraId="4F0B7C6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C0DA555"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w:t>
            </w:r>
            <w:r w:rsidR="0043314A">
              <w:rPr>
                <w:rFonts w:ascii="Arial" w:hAnsi="Arial" w:cs="Arial"/>
                <w:b/>
                <w:sz w:val="20"/>
                <w:szCs w:val="20"/>
              </w:rPr>
              <w:t> </w:t>
            </w:r>
            <w:r>
              <w:rPr>
                <w:rFonts w:ascii="Arial" w:hAnsi="Arial" w:cs="Arial"/>
                <w:b/>
                <w:sz w:val="20"/>
                <w:szCs w:val="20"/>
              </w:rPr>
              <w:t>príspevku</w:t>
            </w:r>
            <w:r w:rsidR="0043314A">
              <w:rPr>
                <w:rFonts w:ascii="Arial" w:hAnsi="Arial" w:cs="Arial"/>
                <w:b/>
                <w:sz w:val="20"/>
                <w:szCs w:val="20"/>
              </w:rPr>
              <w:t>.</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E683665"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43314A">
              <w:rPr>
                <w:rFonts w:ascii="Arial" w:hAnsi="Arial" w:cs="Arial"/>
                <w:bCs/>
                <w:sz w:val="20"/>
                <w:szCs w:val="20"/>
              </w:rPr>
              <w:t> </w:t>
            </w:r>
            <w:r>
              <w:rPr>
                <w:rFonts w:ascii="Arial" w:hAnsi="Arial" w:cs="Arial"/>
                <w:bCs/>
                <w:sz w:val="20"/>
                <w:szCs w:val="20"/>
              </w:rPr>
              <w:t>príspevku</w:t>
            </w:r>
            <w:r w:rsidR="0043314A">
              <w:rPr>
                <w:rFonts w:ascii="Arial" w:hAnsi="Arial" w:cs="Arial"/>
                <w:bCs/>
                <w:sz w:val="20"/>
                <w:szCs w:val="20"/>
              </w:rPr>
              <w:t>.</w:t>
            </w:r>
          </w:p>
          <w:p w14:paraId="3E390E2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8"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3026CE6E"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BFCCAC2"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0043314A">
              <w:rPr>
                <w:rFonts w:ascii="Arial" w:hAnsi="Arial" w:cs="Arial"/>
                <w:bCs/>
                <w:sz w:val="20"/>
                <w:szCs w:val="20"/>
              </w:rPr>
              <w:t>príspevku</w:t>
            </w:r>
            <w:r w:rsidRPr="002123FB">
              <w:rPr>
                <w:rFonts w:ascii="Arial" w:hAnsi="Arial" w:cs="Arial"/>
                <w:bCs/>
                <w:sz w:val="20"/>
                <w:szCs w:val="20"/>
              </w:rPr>
              <w:t>,</w:t>
            </w:r>
          </w:p>
          <w:p w14:paraId="23ABB3A5"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 xml:space="preserve">naviazať účinnosť zmluvy s dodávateľom na výsledok kontroly verejného obstarávania/obstarávania bez identifikácie nedostatkov vo verejnom </w:t>
            </w:r>
            <w:r w:rsidRPr="00974FED">
              <w:rPr>
                <w:rFonts w:ascii="Arial" w:hAnsi="Arial" w:cs="Arial"/>
                <w:bCs/>
                <w:sz w:val="20"/>
                <w:szCs w:val="20"/>
              </w:rPr>
              <w:lastRenderedPageBreak/>
              <w:t>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20A2C30"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9D70975"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6"/>
          <w:p w14:paraId="527B6F86"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9EA27C0" w14:textId="0703D515" w:rsidR="004376AB" w:rsidRPr="00AA1928" w:rsidRDefault="00997F82" w:rsidP="004376AB">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376AB" w:rsidRPr="00AA1928">
              <w:rPr>
                <w:rFonts w:ascii="Arial" w:hAnsi="Arial" w:cs="Arial"/>
                <w:bCs/>
                <w:sz w:val="20"/>
                <w:szCs w:val="20"/>
              </w:rPr>
              <w:t xml:space="preserve"> (</w:t>
            </w:r>
            <w:r w:rsidR="004376AB" w:rsidRPr="00AA1928">
              <w:rPr>
                <w:rFonts w:ascii="Arial" w:hAnsi="Arial" w:cs="Arial"/>
                <w:sz w:val="20"/>
                <w:szCs w:val="20"/>
              </w:rPr>
              <w:t>Balog nad Ipľom</w:t>
            </w:r>
            <w:r w:rsidR="004376AB">
              <w:rPr>
                <w:rFonts w:ascii="Arial" w:hAnsi="Arial" w:cs="Arial"/>
                <w:sz w:val="20"/>
                <w:szCs w:val="20"/>
              </w:rPr>
              <w:t>,</w:t>
            </w:r>
            <w:r w:rsidR="004376AB" w:rsidRPr="00AA1928">
              <w:rPr>
                <w:rFonts w:ascii="Arial" w:hAnsi="Arial" w:cs="Arial"/>
                <w:sz w:val="20"/>
                <w:szCs w:val="20"/>
              </w:rPr>
              <w:t xml:space="preserve"> Čebovce</w:t>
            </w:r>
            <w:r w:rsidR="004376AB">
              <w:rPr>
                <w:rFonts w:ascii="Arial" w:hAnsi="Arial" w:cs="Arial"/>
                <w:sz w:val="20"/>
                <w:szCs w:val="20"/>
              </w:rPr>
              <w:t>,</w:t>
            </w:r>
            <w:r w:rsidR="004376AB" w:rsidRPr="00AA1928">
              <w:rPr>
                <w:rFonts w:ascii="Arial" w:hAnsi="Arial" w:cs="Arial"/>
                <w:sz w:val="20"/>
                <w:szCs w:val="20"/>
              </w:rPr>
              <w:t xml:space="preserve"> Čelovce</w:t>
            </w:r>
            <w:r w:rsidR="004376AB">
              <w:rPr>
                <w:rFonts w:ascii="Arial" w:hAnsi="Arial" w:cs="Arial"/>
                <w:sz w:val="20"/>
                <w:szCs w:val="20"/>
              </w:rPr>
              <w:t>,</w:t>
            </w:r>
            <w:r w:rsidR="004376AB" w:rsidRPr="00AA1928">
              <w:rPr>
                <w:rFonts w:ascii="Arial" w:hAnsi="Arial" w:cs="Arial"/>
                <w:sz w:val="20"/>
                <w:szCs w:val="20"/>
              </w:rPr>
              <w:t xml:space="preserve"> Dolinka</w:t>
            </w:r>
            <w:r w:rsidR="004376AB">
              <w:rPr>
                <w:rFonts w:ascii="Arial" w:hAnsi="Arial" w:cs="Arial"/>
                <w:sz w:val="20"/>
                <w:szCs w:val="20"/>
              </w:rPr>
              <w:t>,</w:t>
            </w:r>
            <w:r w:rsidR="004376AB" w:rsidRPr="00AA1928">
              <w:rPr>
                <w:rFonts w:ascii="Arial" w:hAnsi="Arial" w:cs="Arial"/>
                <w:sz w:val="20"/>
                <w:szCs w:val="20"/>
              </w:rPr>
              <w:t xml:space="preserve"> Ďurkovce</w:t>
            </w:r>
            <w:r w:rsidR="004376AB">
              <w:rPr>
                <w:rFonts w:ascii="Arial" w:hAnsi="Arial" w:cs="Arial"/>
                <w:sz w:val="20"/>
                <w:szCs w:val="20"/>
              </w:rPr>
              <w:t>,</w:t>
            </w:r>
            <w:r w:rsidR="004376AB" w:rsidRPr="00AA1928">
              <w:rPr>
                <w:rFonts w:ascii="Arial" w:hAnsi="Arial" w:cs="Arial"/>
                <w:sz w:val="20"/>
                <w:szCs w:val="20"/>
              </w:rPr>
              <w:t xml:space="preserve"> Hrušov</w:t>
            </w:r>
            <w:r w:rsidR="004376AB">
              <w:rPr>
                <w:rFonts w:ascii="Arial" w:hAnsi="Arial" w:cs="Arial"/>
                <w:sz w:val="20"/>
                <w:szCs w:val="20"/>
              </w:rPr>
              <w:t>,</w:t>
            </w:r>
            <w:r w:rsidR="004376AB" w:rsidRPr="00AA1928">
              <w:rPr>
                <w:rFonts w:ascii="Arial" w:hAnsi="Arial" w:cs="Arial"/>
                <w:sz w:val="20"/>
                <w:szCs w:val="20"/>
              </w:rPr>
              <w:t xml:space="preserve"> Ipeľské Predmostie</w:t>
            </w:r>
            <w:r w:rsidR="004376AB">
              <w:rPr>
                <w:rFonts w:ascii="Arial" w:hAnsi="Arial" w:cs="Arial"/>
                <w:sz w:val="20"/>
                <w:szCs w:val="20"/>
              </w:rPr>
              <w:t>,</w:t>
            </w:r>
            <w:r w:rsidR="004376AB" w:rsidRPr="00AA1928">
              <w:rPr>
                <w:rFonts w:ascii="Arial" w:hAnsi="Arial" w:cs="Arial"/>
                <w:sz w:val="20"/>
                <w:szCs w:val="20"/>
              </w:rPr>
              <w:t xml:space="preserve"> Kamenné Kosihy</w:t>
            </w:r>
            <w:r w:rsidR="004376AB">
              <w:rPr>
                <w:rFonts w:ascii="Arial" w:hAnsi="Arial" w:cs="Arial"/>
                <w:sz w:val="20"/>
                <w:szCs w:val="20"/>
              </w:rPr>
              <w:t>,</w:t>
            </w:r>
            <w:r w:rsidR="004376AB" w:rsidRPr="00AA1928">
              <w:rPr>
                <w:rFonts w:ascii="Arial" w:hAnsi="Arial" w:cs="Arial"/>
                <w:sz w:val="20"/>
                <w:szCs w:val="20"/>
              </w:rPr>
              <w:t xml:space="preserve"> Kleňany</w:t>
            </w:r>
            <w:r w:rsidR="004376AB">
              <w:rPr>
                <w:rFonts w:ascii="Arial" w:hAnsi="Arial" w:cs="Arial"/>
                <w:sz w:val="20"/>
                <w:szCs w:val="20"/>
              </w:rPr>
              <w:t>,</w:t>
            </w:r>
            <w:r w:rsidR="004376AB" w:rsidRPr="00AA1928">
              <w:rPr>
                <w:rFonts w:ascii="Arial" w:hAnsi="Arial" w:cs="Arial"/>
                <w:sz w:val="20"/>
                <w:szCs w:val="20"/>
              </w:rPr>
              <w:t xml:space="preserve"> Kosihovce</w:t>
            </w:r>
            <w:r w:rsidR="004376AB">
              <w:rPr>
                <w:rFonts w:ascii="Arial" w:hAnsi="Arial" w:cs="Arial"/>
                <w:sz w:val="20"/>
                <w:szCs w:val="20"/>
              </w:rPr>
              <w:t>,</w:t>
            </w:r>
            <w:r w:rsidR="004376AB" w:rsidRPr="00AA1928">
              <w:rPr>
                <w:rFonts w:ascii="Arial" w:hAnsi="Arial" w:cs="Arial"/>
                <w:sz w:val="20"/>
                <w:szCs w:val="20"/>
              </w:rPr>
              <w:t xml:space="preserve"> Kosihy nad Ipľom</w:t>
            </w:r>
            <w:r w:rsidR="004376AB">
              <w:rPr>
                <w:rFonts w:ascii="Arial" w:hAnsi="Arial" w:cs="Arial"/>
                <w:sz w:val="20"/>
                <w:szCs w:val="20"/>
              </w:rPr>
              <w:t>,</w:t>
            </w:r>
            <w:r w:rsidR="004376AB" w:rsidRPr="00AA1928">
              <w:rPr>
                <w:rFonts w:ascii="Arial" w:hAnsi="Arial" w:cs="Arial"/>
                <w:sz w:val="20"/>
                <w:szCs w:val="20"/>
              </w:rPr>
              <w:t xml:space="preserve"> Malá Čalomija</w:t>
            </w:r>
            <w:r w:rsidR="004376AB">
              <w:rPr>
                <w:rFonts w:ascii="Arial" w:hAnsi="Arial" w:cs="Arial"/>
                <w:sz w:val="20"/>
                <w:szCs w:val="20"/>
              </w:rPr>
              <w:t>,</w:t>
            </w:r>
            <w:r w:rsidR="004376AB" w:rsidRPr="00AA1928">
              <w:rPr>
                <w:rFonts w:ascii="Arial" w:hAnsi="Arial" w:cs="Arial"/>
                <w:sz w:val="20"/>
                <w:szCs w:val="20"/>
              </w:rPr>
              <w:t xml:space="preserve"> Opava</w:t>
            </w:r>
            <w:r w:rsidR="004376AB">
              <w:rPr>
                <w:rFonts w:ascii="Arial" w:hAnsi="Arial" w:cs="Arial"/>
                <w:sz w:val="20"/>
                <w:szCs w:val="20"/>
              </w:rPr>
              <w:t>,</w:t>
            </w:r>
            <w:r w:rsidR="004376AB" w:rsidRPr="00AA1928">
              <w:rPr>
                <w:rFonts w:ascii="Arial" w:hAnsi="Arial" w:cs="Arial"/>
                <w:sz w:val="20"/>
                <w:szCs w:val="20"/>
              </w:rPr>
              <w:t xml:space="preserve"> Sečianky</w:t>
            </w:r>
            <w:r w:rsidR="004376AB">
              <w:rPr>
                <w:rFonts w:ascii="Arial" w:hAnsi="Arial" w:cs="Arial"/>
                <w:sz w:val="20"/>
                <w:szCs w:val="20"/>
              </w:rPr>
              <w:t>,</w:t>
            </w:r>
            <w:r w:rsidR="004376AB" w:rsidRPr="00AA1928">
              <w:rPr>
                <w:rFonts w:ascii="Arial" w:hAnsi="Arial" w:cs="Arial"/>
                <w:sz w:val="20"/>
                <w:szCs w:val="20"/>
              </w:rPr>
              <w:t xml:space="preserve"> Seľany</w:t>
            </w:r>
            <w:r w:rsidR="004376AB">
              <w:rPr>
                <w:rFonts w:ascii="Arial" w:hAnsi="Arial" w:cs="Arial"/>
                <w:sz w:val="20"/>
                <w:szCs w:val="20"/>
              </w:rPr>
              <w:t>,</w:t>
            </w:r>
            <w:r w:rsidR="004376AB" w:rsidRPr="00AA1928">
              <w:rPr>
                <w:rFonts w:ascii="Arial" w:hAnsi="Arial" w:cs="Arial"/>
                <w:sz w:val="20"/>
                <w:szCs w:val="20"/>
              </w:rPr>
              <w:t xml:space="preserve"> Širákov</w:t>
            </w:r>
            <w:r w:rsidR="004376AB">
              <w:rPr>
                <w:rFonts w:ascii="Arial" w:hAnsi="Arial" w:cs="Arial"/>
                <w:sz w:val="20"/>
                <w:szCs w:val="20"/>
              </w:rPr>
              <w:t>,</w:t>
            </w:r>
            <w:r w:rsidR="004376AB" w:rsidRPr="00AA1928">
              <w:rPr>
                <w:rFonts w:ascii="Arial" w:hAnsi="Arial" w:cs="Arial"/>
                <w:sz w:val="20"/>
                <w:szCs w:val="20"/>
              </w:rPr>
              <w:t xml:space="preserve"> Trebušovce</w:t>
            </w:r>
            <w:r w:rsidR="004376AB">
              <w:rPr>
                <w:rFonts w:ascii="Arial" w:hAnsi="Arial" w:cs="Arial"/>
                <w:sz w:val="20"/>
                <w:szCs w:val="20"/>
              </w:rPr>
              <w:t>,</w:t>
            </w:r>
            <w:r w:rsidR="004376AB" w:rsidRPr="00AA1928">
              <w:rPr>
                <w:rFonts w:ascii="Arial" w:hAnsi="Arial" w:cs="Arial"/>
                <w:sz w:val="20"/>
                <w:szCs w:val="20"/>
              </w:rPr>
              <w:t xml:space="preserve"> Veľká Čalomija</w:t>
            </w:r>
            <w:r w:rsidR="004376AB">
              <w:rPr>
                <w:rFonts w:ascii="Arial" w:hAnsi="Arial" w:cs="Arial"/>
                <w:sz w:val="20"/>
                <w:szCs w:val="20"/>
              </w:rPr>
              <w:t>,</w:t>
            </w:r>
            <w:r w:rsidR="004376AB" w:rsidRPr="00AA1928">
              <w:rPr>
                <w:rFonts w:ascii="Arial" w:hAnsi="Arial" w:cs="Arial"/>
                <w:sz w:val="20"/>
                <w:szCs w:val="20"/>
              </w:rPr>
              <w:t xml:space="preserve"> Veľká Ves nad Ipľom</w:t>
            </w:r>
            <w:r w:rsidR="004376AB">
              <w:rPr>
                <w:rFonts w:ascii="Arial" w:hAnsi="Arial" w:cs="Arial"/>
                <w:sz w:val="20"/>
                <w:szCs w:val="20"/>
              </w:rPr>
              <w:t>,</w:t>
            </w:r>
            <w:r w:rsidR="004376AB" w:rsidRPr="00AA1928">
              <w:rPr>
                <w:rFonts w:ascii="Arial" w:hAnsi="Arial" w:cs="Arial"/>
                <w:sz w:val="20"/>
                <w:szCs w:val="20"/>
              </w:rPr>
              <w:t xml:space="preserve"> Vinica)</w:t>
            </w:r>
          </w:p>
          <w:p w14:paraId="14F23444"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B6B05CF"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462B19">
              <w:rPr>
                <w:rFonts w:ascii="Arial" w:hAnsi="Arial" w:cs="Arial"/>
                <w:bCs/>
                <w:sz w:val="20"/>
                <w:szCs w:val="20"/>
              </w:rPr>
              <w:t>0</w:t>
            </w:r>
            <w:r w:rsidRPr="00AC73D7">
              <w:rPr>
                <w:rFonts w:ascii="Arial" w:hAnsi="Arial" w:cs="Arial"/>
                <w:bCs/>
                <w:sz w:val="20"/>
                <w:szCs w:val="20"/>
              </w:rPr>
              <w:t xml:space="preserve">). </w:t>
            </w:r>
            <w:bookmarkStart w:id="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7"/>
          </w:p>
          <w:p w14:paraId="421329D2"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w:t>
            </w:r>
            <w:r w:rsidRPr="001F15D0">
              <w:rPr>
                <w:rFonts w:ascii="Arial" w:hAnsi="Arial" w:cs="Arial"/>
                <w:bCs/>
                <w:sz w:val="20"/>
                <w:szCs w:val="20"/>
              </w:rPr>
              <w:lastRenderedPageBreak/>
              <w:t>je v súlade s cieľmi HP UR a HP RMŽaND.</w:t>
            </w:r>
          </w:p>
          <w:p w14:paraId="2B9C3F2E"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46FBC" w:rsidP="00687273">
            <w:pPr>
              <w:pStyle w:val="ListParagraph"/>
              <w:spacing w:before="120" w:after="120" w:line="240" w:lineRule="auto"/>
              <w:ind w:left="85" w:right="85"/>
              <w:contextualSpacing w:val="0"/>
              <w:jc w:val="both"/>
              <w:rPr>
                <w:rFonts w:ascii="Arial" w:hAnsi="Arial" w:cs="Arial"/>
                <w:bCs/>
                <w:sz w:val="20"/>
                <w:szCs w:val="20"/>
              </w:rPr>
            </w:pPr>
            <w:hyperlink r:id="rId19" w:history="1">
              <w:r w:rsidR="007D58CE" w:rsidRPr="008274DA">
                <w:rPr>
                  <w:rStyle w:val="Hyperlink"/>
                  <w:rFonts w:cs="Arial"/>
                  <w:bCs/>
                  <w:sz w:val="20"/>
                  <w:szCs w:val="20"/>
                </w:rPr>
                <w:t>http://www.mpsr.sk/index.php?navID=1121&amp;navID2=1121&amp;sID=67&amp;id=10956</w:t>
              </w:r>
            </w:hyperlink>
          </w:p>
          <w:p w14:paraId="0D8F5C3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1465DC79" w:rsidR="00997F82" w:rsidRPr="00477345" w:rsidRDefault="00997F82" w:rsidP="004376AB">
            <w:pPr>
              <w:pStyle w:val="ListParagraph"/>
              <w:widowControl w:val="0"/>
              <w:spacing w:after="0" w:line="240" w:lineRule="auto"/>
              <w:ind w:left="862"/>
              <w:contextualSpacing w:val="0"/>
              <w:jc w:val="both"/>
              <w:rPr>
                <w:rFonts w:ascii="Arial" w:hAnsi="Arial" w:cs="Arial"/>
                <w:bCs/>
                <w:sz w:val="20"/>
                <w:szCs w:val="20"/>
              </w:rPr>
            </w:pPr>
          </w:p>
          <w:p w14:paraId="36ED1A8A"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FootnoteReference"/>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ListParagraph"/>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ListParagraph"/>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001E7F00">
                <w:rPr>
                  <w:rStyle w:val="Hyperlink"/>
                </w:rPr>
                <w:t>https://www.ip.gov.sk/app/registerNZ/</w:t>
              </w:r>
            </w:hyperlink>
            <w:r w:rsidR="001F4CCC">
              <w:rPr>
                <w:rStyle w:val="Hyperlink"/>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ListParagraph"/>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046FBC" w:rsidP="00905190">
            <w:pPr>
              <w:pStyle w:val="ListParagraph"/>
              <w:widowControl w:val="0"/>
              <w:spacing w:before="120" w:after="120" w:line="240" w:lineRule="auto"/>
              <w:ind w:left="85" w:right="85"/>
              <w:contextualSpacing w:val="0"/>
              <w:jc w:val="both"/>
              <w:rPr>
                <w:rFonts w:ascii="Arial" w:hAnsi="Arial" w:cs="Arial"/>
                <w:bCs/>
                <w:sz w:val="20"/>
                <w:szCs w:val="20"/>
              </w:rPr>
            </w:pPr>
            <w:hyperlink r:id="rId21" w:history="1">
              <w:r w:rsidR="00997F82" w:rsidRPr="00162DA5">
                <w:rPr>
                  <w:rStyle w:val="Hyperlink"/>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8" w:name="_Ref498795443"/>
            <w:r w:rsidRPr="002451DC">
              <w:rPr>
                <w:rFonts w:ascii="Arial" w:hAnsi="Arial" w:cs="Arial"/>
                <w:b/>
                <w:sz w:val="20"/>
                <w:szCs w:val="20"/>
              </w:rPr>
              <w:t>Podmienka mať povolenia na realizáciu aktivít projektu</w:t>
            </w:r>
            <w:bookmarkEnd w:id="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FootnoteReference"/>
                <w:rFonts w:ascii="Arial" w:hAnsi="Arial" w:cs="Arial"/>
                <w:bCs/>
                <w:sz w:val="20"/>
                <w:szCs w:val="20"/>
              </w:rPr>
              <w:t xml:space="preserve"> </w:t>
            </w:r>
          </w:p>
          <w:p w14:paraId="214BCBF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B938AD8"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4376AB">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9" w:name="_Ref498785182"/>
            <w:r w:rsidRPr="00A268F6">
              <w:rPr>
                <w:rFonts w:ascii="Arial" w:hAnsi="Arial" w:cs="Arial"/>
                <w:b/>
                <w:sz w:val="20"/>
                <w:szCs w:val="20"/>
              </w:rPr>
              <w:t>Maximálna a minimálna výška príspevku</w:t>
            </w:r>
            <w:bookmarkEnd w:id="9"/>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B19736C"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376AB">
              <w:rPr>
                <w:rFonts w:ascii="Arial" w:hAnsi="Arial" w:cs="Arial"/>
                <w:bCs/>
                <w:sz w:val="20"/>
                <w:szCs w:val="20"/>
              </w:rPr>
              <w:t>3 000,00</w:t>
            </w:r>
            <w:r>
              <w:rPr>
                <w:rFonts w:ascii="Arial" w:hAnsi="Arial" w:cs="Arial"/>
                <w:bCs/>
                <w:sz w:val="20"/>
                <w:szCs w:val="20"/>
              </w:rPr>
              <w:t xml:space="preserve"> EUR</w:t>
            </w:r>
          </w:p>
          <w:p w14:paraId="582FBBB1" w14:textId="01EC51BE"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376AB">
              <w:rPr>
                <w:rFonts w:ascii="Arial" w:hAnsi="Arial" w:cs="Arial"/>
                <w:bCs/>
                <w:sz w:val="20"/>
                <w:szCs w:val="20"/>
              </w:rPr>
              <w:t xml:space="preserve">50 000,00 </w:t>
            </w:r>
            <w:r>
              <w:rPr>
                <w:rFonts w:ascii="Arial" w:hAnsi="Arial" w:cs="Arial"/>
                <w:bCs/>
                <w:sz w:val="20"/>
                <w:szCs w:val="20"/>
              </w:rPr>
              <w:t xml:space="preserve">EUR </w:t>
            </w:r>
          </w:p>
          <w:p w14:paraId="4D57D342"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620F5A5D" w:rsidR="00997F82" w:rsidRPr="00E230C5" w:rsidRDefault="00997F82" w:rsidP="00306499">
            <w:pPr>
              <w:pStyle w:val="ListParagraph"/>
              <w:numPr>
                <w:ilvl w:val="0"/>
                <w:numId w:val="59"/>
              </w:numPr>
              <w:spacing w:after="0" w:line="240" w:lineRule="auto"/>
              <w:ind w:left="709" w:right="85" w:hanging="357"/>
              <w:contextualSpacing w:val="0"/>
              <w:jc w:val="both"/>
              <w:rPr>
                <w:rFonts w:ascii="Arial" w:hAnsi="Arial" w:cs="Arial"/>
                <w:bCs/>
                <w:sz w:val="20"/>
                <w:szCs w:val="20"/>
              </w:rPr>
            </w:pPr>
            <w:r w:rsidRPr="00E230C5">
              <w:rPr>
                <w:rFonts w:ascii="Arial" w:hAnsi="Arial" w:cs="Arial"/>
                <w:bCs/>
                <w:sz w:val="20"/>
                <w:szCs w:val="20"/>
              </w:rPr>
              <w:t>Rozpočet projektu,</w:t>
            </w:r>
          </w:p>
          <w:p w14:paraId="1D25158C"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15E78C6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w:t>
            </w:r>
            <w:r w:rsidR="004376AB">
              <w:rPr>
                <w:rFonts w:ascii="Arial" w:hAnsi="Arial" w:cs="Arial"/>
                <w:bCs/>
                <w:sz w:val="20"/>
                <w:szCs w:val="20"/>
              </w:rPr>
              <w:t>ých v žiadosti o príspevok</w:t>
            </w:r>
            <w:r>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FootnoteReference"/>
                <w:rFonts w:ascii="Arial" w:hAnsi="Arial" w:cs="Arial"/>
                <w:bCs/>
                <w:sz w:val="20"/>
                <w:szCs w:val="20"/>
              </w:rPr>
              <w:footnoteReference w:id="2"/>
            </w:r>
          </w:p>
          <w:p w14:paraId="6041A1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bookmarkStart w:id="10"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10"/>
          <w:p w14:paraId="2DCF2F7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ListParagraph"/>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ListParagraph"/>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77777777" w:rsidR="00997F82" w:rsidRPr="00971A5F"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1"/>
    <w:p w14:paraId="7B91A4EF"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ŽoPr. Účtovná závierka musí byť v tomto prípade podpísaná štatutárnym </w:t>
            </w:r>
            <w:r w:rsidRPr="00D01EF0">
              <w:rPr>
                <w:rFonts w:ascii="Arial" w:hAnsi="Arial" w:cs="Arial"/>
                <w:bCs/>
                <w:sz w:val="20"/>
                <w:szCs w:val="20"/>
              </w:rPr>
              <w:lastRenderedPageBreak/>
              <w:t>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0CE5D622"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365B5">
              <w:rPr>
                <w:rFonts w:ascii="Arial" w:hAnsi="Arial" w:cs="Arial"/>
                <w:bCs/>
                <w:sz w:val="20"/>
                <w:szCs w:val="20"/>
              </w:rPr>
              <w:t>: IROP-CLLD-X293-512-003</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F9A931D" w14:textId="55473E1C" w:rsidR="00473763" w:rsidRDefault="00473763" w:rsidP="00473763">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31E4BFB0"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w:t>
            </w:r>
            <w:r w:rsidRPr="00D01EF0">
              <w:rPr>
                <w:rFonts w:ascii="Arial" w:hAnsi="Arial" w:cs="Arial"/>
                <w:bCs/>
                <w:sz w:val="20"/>
                <w:szCs w:val="20"/>
              </w:rPr>
              <w:lastRenderedPageBreak/>
              <w:t>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4943CF" w:rsidR="00997F82" w:rsidRPr="002C3A60" w:rsidRDefault="00997F82" w:rsidP="00AE11DC">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9365B5">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8A74B8D" w14:textId="382536AD" w:rsidR="00236E5C" w:rsidRPr="0089302D" w:rsidRDefault="00997F82" w:rsidP="007A3B27">
            <w:pPr>
              <w:pStyle w:val="ListParagraph"/>
              <w:numPr>
                <w:ilvl w:val="0"/>
                <w:numId w:val="62"/>
              </w:numPr>
              <w:spacing w:before="120" w:after="120" w:line="240" w:lineRule="auto"/>
              <w:ind w:left="596" w:right="85"/>
              <w:jc w:val="both"/>
              <w:rPr>
                <w:rFonts w:ascii="Arial" w:hAnsi="Arial" w:cs="Arial"/>
                <w:bCs/>
                <w:sz w:val="20"/>
                <w:szCs w:val="20"/>
              </w:rPr>
            </w:pPr>
            <w:r w:rsidRPr="0089302D">
              <w:rPr>
                <w:rFonts w:ascii="Arial" w:hAnsi="Arial" w:cs="Arial"/>
                <w:bCs/>
                <w:sz w:val="20"/>
                <w:szCs w:val="20"/>
              </w:rPr>
              <w:t xml:space="preserve">výpis z registra trestov fyzickej osoby vedenom Generálnou prokuratúrou SR, nie starší ako 3 mesiace ku dňu predloženia ŽoPr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6370AF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D3B47">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DD3B47">
              <w:rPr>
                <w:rFonts w:ascii="Arial" w:hAnsi="Arial" w:cs="Arial"/>
                <w:bCs/>
                <w:sz w:val="20"/>
                <w:szCs w:val="20"/>
              </w:rPr>
              <w:t> </w:t>
            </w:r>
            <w:r w:rsidRPr="00835223">
              <w:rPr>
                <w:rFonts w:ascii="Arial" w:hAnsi="Arial" w:cs="Arial"/>
                <w:bCs/>
                <w:sz w:val="20"/>
                <w:szCs w:val="20"/>
              </w:rPr>
              <w:t>príspevku</w:t>
            </w:r>
            <w:r w:rsidR="00DD3B47">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kapitole 2.2.2 Príručky RO pre </w:t>
            </w:r>
            <w:r w:rsidRPr="00B24E47">
              <w:rPr>
                <w:rFonts w:ascii="Arial" w:hAnsi="Arial" w:cs="Arial"/>
                <w:bCs/>
                <w:sz w:val="20"/>
                <w:szCs w:val="20"/>
              </w:rPr>
              <w:lastRenderedPageBreak/>
              <w:t>IROP k procesu verejného obstarávania, ktorá je dostupná na</w:t>
            </w:r>
            <w:r w:rsidR="00DF0742">
              <w:rPr>
                <w:rFonts w:ascii="Arial" w:hAnsi="Arial" w:cs="Arial"/>
                <w:bCs/>
                <w:sz w:val="20"/>
                <w:szCs w:val="20"/>
              </w:rPr>
              <w:t xml:space="preserve"> </w:t>
            </w:r>
            <w:hyperlink r:id="rId23" w:history="1">
              <w:r w:rsidR="00DF0742"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34535D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DD3B4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53CB87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DD3B47">
              <w:rPr>
                <w:rFonts w:ascii="Arial" w:hAnsi="Arial" w:cs="Arial"/>
                <w:bCs/>
                <w:sz w:val="20"/>
                <w:szCs w:val="20"/>
              </w:rPr>
              <w:t>.</w:t>
            </w:r>
          </w:p>
          <w:p w14:paraId="0F34D686" w14:textId="333F463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vypĺňa relevantnú tabuľku podľa relevantnosti účtovnej závierky, ktorú v zmysle opatrení Ministerstva financií SR zostavuje (iné účtovné závierky platia pre podnikateľské subjekty a iné pre </w:t>
            </w:r>
            <w:r>
              <w:rPr>
                <w:rFonts w:ascii="Arial" w:hAnsi="Arial" w:cs="Arial"/>
                <w:bCs/>
                <w:sz w:val="20"/>
                <w:szCs w:val="20"/>
              </w:rPr>
              <w:lastRenderedPageBreak/>
              <w:t>verejný, resp. neziskový sektor)</w:t>
            </w:r>
            <w:r w:rsidR="00DD3B4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78C2DECB"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5" w:history="1">
              <w:r w:rsidRPr="00D01EF0">
                <w:rPr>
                  <w:rStyle w:val="Hyperlink"/>
                  <w:bCs/>
                  <w:sz w:val="20"/>
                  <w:szCs w:val="20"/>
                </w:rPr>
                <w:t>www.registeruz.sk</w:t>
              </w:r>
            </w:hyperlink>
            <w:r>
              <w:rPr>
                <w:rStyle w:val="Hyperlink"/>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ListParagraph"/>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32FAF215"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D15AF5D"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F53012">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6933BEF"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link"/>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 xml:space="preserve">zmluva o založení spoločenstva s právnou subjektivitou (jej súčasťou je zoznam vlastníkov </w:t>
            </w:r>
            <w:r w:rsidRPr="00D01EF0">
              <w:rPr>
                <w:szCs w:val="20"/>
              </w:rPr>
              <w:lastRenderedPageBreak/>
              <w:t>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ListParagraph"/>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ListParagraph"/>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ListParagraph"/>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ListParagraph"/>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w:t>
            </w:r>
            <w:r w:rsidRPr="000752CD">
              <w:rPr>
                <w:rFonts w:ascii="Arial" w:hAnsi="Arial" w:cs="Arial"/>
                <w:bCs/>
                <w:sz w:val="20"/>
                <w:szCs w:val="20"/>
              </w:rPr>
              <w:lastRenderedPageBreak/>
              <w:t>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ListParagraph"/>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ListParagraph"/>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adresa žiadateľa;</w:t>
      </w:r>
    </w:p>
    <w:p w14:paraId="46D71C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416F917" w:rsidR="00997F82" w:rsidRPr="003F3414" w:rsidRDefault="00F53012"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Hontianske Poiplie, Cesta Slobody 466/44, 991 28 Vinica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C80C1B3"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w:t>
      </w:r>
      <w:r w:rsidR="00F53012">
        <w:rPr>
          <w:rFonts w:ascii="Arial" w:hAnsi="Arial" w:cs="Arial"/>
          <w:sz w:val="20"/>
          <w:szCs w:val="20"/>
        </w:rPr>
        <w:t>e (v pracovných dňoch v čase od 9:00-14:00 hod</w:t>
      </w:r>
      <w:r w:rsidRPr="003F3414">
        <w:rPr>
          <w:rFonts w:ascii="Arial" w:hAnsi="Arial" w:cs="Arial"/>
          <w:sz w:val="20"/>
          <w:szCs w:val="20"/>
        </w:rPr>
        <w:t>.),</w:t>
      </w:r>
    </w:p>
    <w:p w14:paraId="72BA5A04"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lastRenderedPageBreak/>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ListParagraph"/>
        <w:numPr>
          <w:ilvl w:val="0"/>
          <w:numId w:val="43"/>
        </w:numPr>
        <w:ind w:left="851"/>
        <w:jc w:val="both"/>
        <w:rPr>
          <w:rFonts w:ascii="Arial" w:hAnsi="Arial" w:cs="Arial"/>
          <w:sz w:val="20"/>
          <w:szCs w:val="20"/>
        </w:rPr>
      </w:pPr>
      <w:r w:rsidRPr="008E3991">
        <w:rPr>
          <w:rFonts w:ascii="Arial" w:hAnsi="Arial" w:cs="Arial"/>
          <w:sz w:val="20"/>
          <w:szCs w:val="20"/>
        </w:rPr>
        <w:lastRenderedPageBreak/>
        <w:t>Hodnota Value for Money</w:t>
      </w:r>
      <w:r>
        <w:rPr>
          <w:rStyle w:val="FootnoteReference"/>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FootnoteReference"/>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07F31A35" w14:textId="77777777" w:rsidR="006846B5" w:rsidRDefault="00997F82" w:rsidP="006846B5">
      <w:pPr>
        <w:spacing w:before="80" w:line="240" w:lineRule="auto"/>
        <w:jc w:val="both"/>
        <w:rPr>
          <w:rStyle w:val="Hyperlink"/>
          <w:rFonts w:cs="Arial"/>
          <w:noProof/>
          <w:color w:val="FF0000"/>
          <w:sz w:val="20"/>
          <w:szCs w:val="20"/>
        </w:rPr>
      </w:pPr>
      <w:r w:rsidRPr="003F3414">
        <w:rPr>
          <w:rFonts w:ascii="Arial" w:hAnsi="Arial" w:cs="Arial"/>
          <w:sz w:val="20"/>
        </w:rPr>
        <w:t>Štandardný formulár zmluvy o poskytnutí príspevku je zverejnený na web</w:t>
      </w:r>
      <w:r w:rsidR="006846B5">
        <w:rPr>
          <w:rFonts w:ascii="Arial" w:hAnsi="Arial" w:cs="Arial"/>
          <w:sz w:val="20"/>
        </w:rPr>
        <w:t xml:space="preserve">ovom sídle </w:t>
      </w:r>
      <w:r w:rsidRPr="003F3414">
        <w:rPr>
          <w:rFonts w:ascii="Arial" w:hAnsi="Arial" w:cs="Arial"/>
          <w:sz w:val="20"/>
        </w:rPr>
        <w:t xml:space="preserve"> </w:t>
      </w:r>
      <w:hyperlink r:id="rId27" w:history="1">
        <w:r w:rsidR="006846B5" w:rsidRPr="00EE6F4C">
          <w:rPr>
            <w:rStyle w:val="Hyperlink"/>
            <w:rFonts w:cs="Arial"/>
            <w:noProof/>
            <w:sz w:val="20"/>
            <w:szCs w:val="20"/>
          </w:rPr>
          <w:t>https://www.mpsr.sk/vzor-zmluvy-o-prispevok/1319-67-1319-15136/</w:t>
        </w:r>
      </w:hyperlink>
    </w:p>
    <w:p w14:paraId="14410A72" w14:textId="77777777" w:rsidR="006846B5" w:rsidRPr="00250CE5" w:rsidRDefault="00046FBC" w:rsidP="006846B5">
      <w:pPr>
        <w:spacing w:before="80" w:line="240" w:lineRule="auto"/>
        <w:jc w:val="both"/>
        <w:rPr>
          <w:rFonts w:ascii="Arial" w:hAnsi="Arial" w:cs="Arial"/>
          <w:sz w:val="20"/>
          <w:szCs w:val="20"/>
        </w:rPr>
      </w:pPr>
      <w:hyperlink r:id="rId28" w:history="1">
        <w:r w:rsidR="006846B5" w:rsidRPr="00250CE5">
          <w:rPr>
            <w:rStyle w:val="Hyperlink"/>
            <w:rFonts w:cs="Arial"/>
            <w:sz w:val="20"/>
            <w:szCs w:val="20"/>
          </w:rPr>
          <w:t>http://www.hontianskepoiplie.sk/vyzvy.html</w:t>
        </w:r>
      </w:hyperlink>
    </w:p>
    <w:p w14:paraId="3F5B6A6A" w14:textId="5DD6678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lastRenderedPageBreak/>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04CAF9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w:t>
      </w:r>
      <w:r w:rsidR="006846B5">
        <w:rPr>
          <w:rFonts w:ascii="Arial" w:hAnsi="Arial" w:cs="Arial"/>
          <w:spacing w:val="-3"/>
          <w:sz w:val="20"/>
          <w:szCs w:val="20"/>
        </w:rPr>
        <w:t xml:space="preserve">na webovom sídle </w:t>
      </w:r>
      <w:hyperlink r:id="rId29" w:history="1">
        <w:r w:rsidR="006846B5" w:rsidRPr="00EE6F4C">
          <w:rPr>
            <w:rStyle w:val="Hyperlink"/>
            <w:rFonts w:cs="Arial"/>
            <w:sz w:val="20"/>
          </w:rPr>
          <w:t>http://www.hontianskepoiplie.sk/vyzvy.html</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B9794E2"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w:t>
      </w:r>
      <w:r w:rsidR="006846B5">
        <w:rPr>
          <w:rFonts w:ascii="Arial" w:hAnsi="Arial" w:cs="Arial"/>
          <w:spacing w:val="-3"/>
          <w:sz w:val="20"/>
          <w:szCs w:val="20"/>
        </w:rPr>
        <w:t>ilovú adresu MAS: hontianskepoiplie@gmail.com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E6064" w14:textId="77777777" w:rsidR="00046FBC" w:rsidRDefault="00046FBC" w:rsidP="00997F82">
      <w:pPr>
        <w:spacing w:after="0" w:line="240" w:lineRule="auto"/>
      </w:pPr>
      <w:r>
        <w:separator/>
      </w:r>
    </w:p>
  </w:endnote>
  <w:endnote w:type="continuationSeparator" w:id="0">
    <w:p w14:paraId="1BF25E31" w14:textId="77777777" w:rsidR="00046FBC" w:rsidRDefault="00046FBC"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3C36FA12" w:rsidR="00E70BB1" w:rsidRPr="000B630C" w:rsidRDefault="00E70BB1">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B0BC1">
          <w:rPr>
            <w:rFonts w:ascii="Arial" w:hAnsi="Arial" w:cs="Arial"/>
            <w:noProof/>
            <w:sz w:val="20"/>
            <w:szCs w:val="20"/>
          </w:rPr>
          <w:t>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E70BB1" w:rsidRDefault="00E70BB1" w:rsidP="00DD3EE2">
    <w:pPr>
      <w:pStyle w:val="Footer"/>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13CFE9"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E70BB1" w:rsidRDefault="00E7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2048" w14:textId="77777777" w:rsidR="00046FBC" w:rsidRDefault="00046FBC" w:rsidP="00997F82">
      <w:pPr>
        <w:spacing w:after="0" w:line="240" w:lineRule="auto"/>
      </w:pPr>
      <w:r>
        <w:separator/>
      </w:r>
    </w:p>
  </w:footnote>
  <w:footnote w:type="continuationSeparator" w:id="0">
    <w:p w14:paraId="111F7824" w14:textId="77777777" w:rsidR="00046FBC" w:rsidRDefault="00046FBC" w:rsidP="00997F82">
      <w:pPr>
        <w:spacing w:after="0" w:line="240" w:lineRule="auto"/>
      </w:pPr>
      <w:r>
        <w:continuationSeparator/>
      </w:r>
    </w:p>
  </w:footnote>
  <w:footnote w:id="1">
    <w:p w14:paraId="00A0BAF2" w14:textId="08ED93F2" w:rsidR="00E70BB1" w:rsidRPr="00377989" w:rsidRDefault="00E70BB1" w:rsidP="00AE11DC">
      <w:pPr>
        <w:pStyle w:val="FootnoteText"/>
        <w:tabs>
          <w:tab w:val="left" w:pos="284"/>
        </w:tabs>
        <w:ind w:left="284" w:hanging="284"/>
        <w:jc w:val="both"/>
        <w:rPr>
          <w:rFonts w:ascii="Arial" w:hAnsi="Arial" w:cs="Arial"/>
          <w:sz w:val="16"/>
          <w:szCs w:val="16"/>
        </w:rPr>
      </w:pPr>
      <w:r w:rsidRPr="00377989">
        <w:rPr>
          <w:rStyle w:val="FootnoteReference"/>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link"/>
            <w:rFonts w:cs="Arial"/>
            <w:sz w:val="16"/>
            <w:szCs w:val="16"/>
          </w:rPr>
          <w:t>v Oznámen</w:t>
        </w:r>
        <w:r w:rsidRPr="00377989">
          <w:rPr>
            <w:rStyle w:val="Hyperlink"/>
            <w:rFonts w:cs="Arial"/>
            <w:sz w:val="16"/>
            <w:szCs w:val="16"/>
          </w:rPr>
          <w:t>í</w:t>
        </w:r>
        <w:r w:rsidRPr="004461E5">
          <w:rPr>
            <w:rStyle w:val="Hyperlink"/>
            <w:rFonts w:cs="Arial"/>
            <w:sz w:val="16"/>
            <w:szCs w:val="16"/>
          </w:rPr>
          <w:t xml:space="preserve"> Komisie o</w:t>
        </w:r>
        <w:r>
          <w:rPr>
            <w:rStyle w:val="Hyperlink"/>
            <w:rFonts w:cs="Arial"/>
            <w:sz w:val="16"/>
            <w:szCs w:val="16"/>
          </w:rPr>
          <w:t> </w:t>
        </w:r>
        <w:r w:rsidRPr="004461E5">
          <w:rPr>
            <w:rStyle w:val="Hyperlink"/>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E70BB1" w:rsidRPr="00726901" w:rsidRDefault="00E70BB1" w:rsidP="00726901">
      <w:pPr>
        <w:pStyle w:val="FootnoteText"/>
        <w:jc w:val="both"/>
        <w:rPr>
          <w:bCs/>
        </w:rPr>
      </w:pPr>
      <w:r>
        <w:rPr>
          <w:rStyle w:val="FootnoteReference"/>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E70BB1" w:rsidRPr="00726901" w:rsidRDefault="00E70BB1" w:rsidP="00726901">
      <w:pPr>
        <w:pStyle w:val="FootnoteText"/>
        <w:numPr>
          <w:ilvl w:val="0"/>
          <w:numId w:val="68"/>
        </w:numPr>
        <w:jc w:val="both"/>
      </w:pPr>
      <w:r>
        <w:t>f</w:t>
      </w:r>
      <w:r w:rsidRPr="00726901">
        <w:t>yzicky sa zrealizovali všetky Aktivity Projektu,</w:t>
      </w:r>
    </w:p>
    <w:p w14:paraId="5AC6E6E7" w14:textId="3186AE87" w:rsidR="00E70BB1" w:rsidRDefault="00E70BB1" w:rsidP="00726901">
      <w:pPr>
        <w:pStyle w:val="FootnoteText"/>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5D9D86C4" w:rsidR="00E70BB1" w:rsidRPr="00B2676C" w:rsidRDefault="00E70BB1" w:rsidP="00997F82">
      <w:pPr>
        <w:pStyle w:val="FootnoteText"/>
        <w:tabs>
          <w:tab w:val="left" w:pos="284"/>
        </w:tabs>
        <w:ind w:left="284" w:hanging="284"/>
        <w:rPr>
          <w:rFonts w:ascii="Arial" w:hAnsi="Arial" w:cs="Arial"/>
          <w:sz w:val="16"/>
          <w:szCs w:val="16"/>
        </w:rPr>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B2676C">
        <w:rPr>
          <w:rFonts w:ascii="Arial" w:hAnsi="Arial" w:cs="Arial"/>
          <w:sz w:val="16"/>
          <w:szCs w:val="16"/>
        </w:rPr>
        <w:t>(C104 Zvýšená kapacita podporených zariadení sociálnych služieb.</w:t>
      </w:r>
      <w:r w:rsidRPr="00B2676C">
        <w:rPr>
          <w:rFonts w:ascii="Arial" w:hAnsi="Arial" w:cs="Arial"/>
          <w:i/>
          <w:sz w:val="16"/>
          <w:szCs w:val="16"/>
        </w:rPr>
        <w:t>)</w:t>
      </w:r>
    </w:p>
  </w:footnote>
  <w:footnote w:id="4">
    <w:p w14:paraId="75372597" w14:textId="58F7A4E1" w:rsidR="00E70BB1" w:rsidRPr="003F3414" w:rsidRDefault="00E70BB1"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7E07BA0C" w:rsidR="00E70BB1" w:rsidRPr="001F013A" w:rsidRDefault="00E70BB1" w:rsidP="00DD3EE2">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597315B6">
              <wp:simplePos x="0" y="0"/>
              <wp:positionH relativeFrom="column">
                <wp:posOffset>87630</wp:posOffset>
              </wp:positionH>
              <wp:positionV relativeFrom="paragraph">
                <wp:posOffset>-99695</wp:posOffset>
              </wp:positionV>
              <wp:extent cx="1000125" cy="708660"/>
              <wp:effectExtent l="0" t="0" r="28575" b="15240"/>
              <wp:wrapNone/>
              <wp:docPr id="15" name="Zaoblený obdĺžnik 15"/>
              <wp:cNvGraphicFramePr/>
              <a:graphic xmlns:a="http://schemas.openxmlformats.org/drawingml/2006/main">
                <a:graphicData uri="http://schemas.microsoft.com/office/word/2010/wordprocessingShape">
                  <wps:wsp>
                    <wps:cNvSpPr/>
                    <wps:spPr>
                      <a:xfrm>
                        <a:off x="0" y="0"/>
                        <a:ext cx="1000125" cy="70866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639432FD" w:rsidR="00E70BB1" w:rsidRPr="00CC6608" w:rsidRDefault="00E70BB1" w:rsidP="00DD3EE2">
                          <w:pPr>
                            <w:jc w:val="center"/>
                            <w:rPr>
                              <w:color w:val="000000" w:themeColor="text1"/>
                            </w:rPr>
                          </w:pPr>
                          <w:r w:rsidRPr="008D3869">
                            <w:rPr>
                              <w:noProof/>
                            </w:rPr>
                            <w:drawing>
                              <wp:inline distT="0" distB="0" distL="0" distR="0" wp14:anchorId="47750EF1" wp14:editId="6EDB1787">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9BE94F" id="Zaoblený obdĺžnik 15" o:spid="_x0000_s1026" style="position:absolute;margin-left:6.9pt;margin-top:-7.85pt;width:78.75pt;height:5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" filled="f" strokecolor="black [3213]" strokeweight=".25pt">
              <v:stroke joinstyle="miter"/>
              <v:textbox>
                <w:txbxContent>
                  <w:p w14:paraId="19922610" w14:textId="639432FD" w:rsidR="00E70BB1" w:rsidRPr="00CC6608" w:rsidRDefault="00E70BB1" w:rsidP="00DD3EE2">
                    <w:pPr>
                      <w:jc w:val="center"/>
                      <w:rPr>
                        <w:color w:val="000000" w:themeColor="text1"/>
                      </w:rPr>
                    </w:pPr>
                    <w:r w:rsidRPr="008D3869">
                      <w:rPr>
                        <w:noProof/>
                      </w:rPr>
                      <w:drawing>
                        <wp:inline distT="0" distB="0" distL="0" distR="0" wp14:anchorId="47750EF1" wp14:editId="6EDB1787">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9794A0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E70BB1" w:rsidRDefault="00E70BB1" w:rsidP="00DD3EE2">
    <w:pPr>
      <w:pStyle w:val="Header"/>
    </w:pPr>
  </w:p>
  <w:p w14:paraId="25C2BAF4" w14:textId="116F9CC5" w:rsidR="00E70BB1" w:rsidRPr="00FC401E" w:rsidRDefault="00E70BB1" w:rsidP="00DD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12BD"/>
    <w:rsid w:val="00016DEA"/>
    <w:rsid w:val="00020AEB"/>
    <w:rsid w:val="00033565"/>
    <w:rsid w:val="00046FBC"/>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1531"/>
    <w:rsid w:val="00156B34"/>
    <w:rsid w:val="00156C68"/>
    <w:rsid w:val="001651C7"/>
    <w:rsid w:val="00175444"/>
    <w:rsid w:val="00175E83"/>
    <w:rsid w:val="00182C4F"/>
    <w:rsid w:val="00182D10"/>
    <w:rsid w:val="00183589"/>
    <w:rsid w:val="001862A8"/>
    <w:rsid w:val="001871DC"/>
    <w:rsid w:val="001931A7"/>
    <w:rsid w:val="001A3BF1"/>
    <w:rsid w:val="001A7A3A"/>
    <w:rsid w:val="001B0BC1"/>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3314A"/>
    <w:rsid w:val="004376AB"/>
    <w:rsid w:val="0044013E"/>
    <w:rsid w:val="00443977"/>
    <w:rsid w:val="004461E5"/>
    <w:rsid w:val="004530CF"/>
    <w:rsid w:val="00462B19"/>
    <w:rsid w:val="00463F92"/>
    <w:rsid w:val="00465C96"/>
    <w:rsid w:val="00473763"/>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46B5"/>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7F7781"/>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14A9"/>
    <w:rsid w:val="00875F76"/>
    <w:rsid w:val="00882C9E"/>
    <w:rsid w:val="00890C26"/>
    <w:rsid w:val="0089302D"/>
    <w:rsid w:val="008E4E7C"/>
    <w:rsid w:val="008F0E53"/>
    <w:rsid w:val="008F5F19"/>
    <w:rsid w:val="0090412C"/>
    <w:rsid w:val="00905190"/>
    <w:rsid w:val="009233A6"/>
    <w:rsid w:val="009365B5"/>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001BE"/>
    <w:rsid w:val="00B03822"/>
    <w:rsid w:val="00B10F27"/>
    <w:rsid w:val="00B12C25"/>
    <w:rsid w:val="00B12E40"/>
    <w:rsid w:val="00B2676C"/>
    <w:rsid w:val="00B26F6D"/>
    <w:rsid w:val="00B30373"/>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85CD5"/>
    <w:rsid w:val="00C94378"/>
    <w:rsid w:val="00CA18C8"/>
    <w:rsid w:val="00CB08D8"/>
    <w:rsid w:val="00CD33A6"/>
    <w:rsid w:val="00CD453C"/>
    <w:rsid w:val="00CF1AEB"/>
    <w:rsid w:val="00D002A1"/>
    <w:rsid w:val="00D05CF5"/>
    <w:rsid w:val="00D15307"/>
    <w:rsid w:val="00D27850"/>
    <w:rsid w:val="00D54138"/>
    <w:rsid w:val="00D75D44"/>
    <w:rsid w:val="00D820A6"/>
    <w:rsid w:val="00D82CE8"/>
    <w:rsid w:val="00D83861"/>
    <w:rsid w:val="00DA2DC3"/>
    <w:rsid w:val="00DA6B22"/>
    <w:rsid w:val="00DB2C62"/>
    <w:rsid w:val="00DB3F0F"/>
    <w:rsid w:val="00DD26C9"/>
    <w:rsid w:val="00DD3B47"/>
    <w:rsid w:val="00DD3EE2"/>
    <w:rsid w:val="00DD6618"/>
    <w:rsid w:val="00DD6A61"/>
    <w:rsid w:val="00DD722D"/>
    <w:rsid w:val="00DE4354"/>
    <w:rsid w:val="00DF0742"/>
    <w:rsid w:val="00DF122D"/>
    <w:rsid w:val="00DF16ED"/>
    <w:rsid w:val="00E0368D"/>
    <w:rsid w:val="00E101C8"/>
    <w:rsid w:val="00E230C5"/>
    <w:rsid w:val="00E25742"/>
    <w:rsid w:val="00E30379"/>
    <w:rsid w:val="00E30D9E"/>
    <w:rsid w:val="00E44198"/>
    <w:rsid w:val="00E54587"/>
    <w:rsid w:val="00E60334"/>
    <w:rsid w:val="00E70BB1"/>
    <w:rsid w:val="00E906F3"/>
    <w:rsid w:val="00E91593"/>
    <w:rsid w:val="00E922AD"/>
    <w:rsid w:val="00E9613C"/>
    <w:rsid w:val="00EA155E"/>
    <w:rsid w:val="00EA3C9B"/>
    <w:rsid w:val="00EA766C"/>
    <w:rsid w:val="00EB29CA"/>
    <w:rsid w:val="00EB65C0"/>
    <w:rsid w:val="00EC7AEC"/>
    <w:rsid w:val="00ED0FA1"/>
    <w:rsid w:val="00ED17B7"/>
    <w:rsid w:val="00ED6D9F"/>
    <w:rsid w:val="00ED7EE6"/>
    <w:rsid w:val="00EE0748"/>
    <w:rsid w:val="00EF2E95"/>
    <w:rsid w:val="00EF6638"/>
    <w:rsid w:val="00F004C3"/>
    <w:rsid w:val="00F108CA"/>
    <w:rsid w:val="00F12E6A"/>
    <w:rsid w:val="00F23F27"/>
    <w:rsid w:val="00F27CCE"/>
    <w:rsid w:val="00F30897"/>
    <w:rsid w:val="00F30DAB"/>
    <w:rsid w:val="00F34153"/>
    <w:rsid w:val="00F413B2"/>
    <w:rsid w:val="00F43666"/>
    <w:rsid w:val="00F5202D"/>
    <w:rsid w:val="00F53012"/>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s://www.crz.gov.sk/"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ulture.gov.sk/extdoc/4426/EVIDENCIA_CNS"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www.registeruz.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ane\Downloads\www.registeruz.sk" TargetMode="External"/><Relationship Id="rId20" Type="http://schemas.openxmlformats.org/officeDocument/2006/relationships/hyperlink" Target="https://www.ip.gov.sk/app/registerNZ/" TargetMode="External"/><Relationship Id="rId29" Type="http://schemas.openxmlformats.org/officeDocument/2006/relationships/hyperlink" Target="http://www.hontianskepoiplie.sk/vyzv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justice.gov.sk/PortalApp/ObchodnyVestnik/Web/Zoznam.aspx"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http://www.hontianskepoiplie.sk/vyzvy.html" TargetMode="Externa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ntianskepoiplie.sk/vyzvy.html" TargetMode="External"/><Relationship Id="rId14" Type="http://schemas.openxmlformats.org/officeDocument/2006/relationships/hyperlink" Target="http://www.registeruz.sk"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147FC"/>
    <w:rsid w:val="00424257"/>
    <w:rsid w:val="00436420"/>
    <w:rsid w:val="004B348D"/>
    <w:rsid w:val="004C2A3D"/>
    <w:rsid w:val="004C5215"/>
    <w:rsid w:val="004E2BCA"/>
    <w:rsid w:val="004F2CDE"/>
    <w:rsid w:val="00504897"/>
    <w:rsid w:val="00540F5F"/>
    <w:rsid w:val="00560FCD"/>
    <w:rsid w:val="00562C21"/>
    <w:rsid w:val="005728CB"/>
    <w:rsid w:val="005875C8"/>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8272-F421-4CEB-B9A3-BE045A84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13251</Words>
  <Characters>75536</Characters>
  <Application>Microsoft Office Word</Application>
  <DocSecurity>0</DocSecurity>
  <Lines>629</Lines>
  <Paragraphs>177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2021-08-13T07:30:00Z</dcterms:modified>
</cp:coreProperties>
</file>